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33"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90"/>
        <w:gridCol w:w="7243"/>
      </w:tblGrid>
      <w:tr w:rsidR="00B53709" w14:paraId="30068F57" w14:textId="77777777" w:rsidTr="009109E9">
        <w:trPr>
          <w:cantSplit/>
          <w:trHeight w:val="1360"/>
        </w:trPr>
        <w:tc>
          <w:tcPr>
            <w:tcW w:w="2490" w:type="dxa"/>
            <w:tcMar>
              <w:top w:w="55" w:type="dxa"/>
              <w:left w:w="55" w:type="dxa"/>
              <w:bottom w:w="55" w:type="dxa"/>
              <w:right w:w="55" w:type="dxa"/>
            </w:tcMar>
            <w:vAlign w:val="center"/>
          </w:tcPr>
          <w:p w14:paraId="57487121" w14:textId="77777777" w:rsidR="00B53709" w:rsidRDefault="005E4C2C">
            <w:pPr>
              <w:pStyle w:val="Begriff"/>
            </w:pPr>
            <w:r>
              <w:t>Netzwerk-</w:t>
            </w:r>
            <w:r>
              <w:br/>
              <w:t>Administrator</w:t>
            </w:r>
          </w:p>
        </w:tc>
        <w:tc>
          <w:tcPr>
            <w:tcW w:w="7243" w:type="dxa"/>
            <w:tcMar>
              <w:top w:w="55" w:type="dxa"/>
              <w:left w:w="55" w:type="dxa"/>
              <w:bottom w:w="55" w:type="dxa"/>
              <w:right w:w="55" w:type="dxa"/>
            </w:tcMar>
          </w:tcPr>
          <w:p w14:paraId="1128D4B6" w14:textId="77777777" w:rsidR="00B53709" w:rsidRDefault="005E4C2C">
            <w:pPr>
              <w:pStyle w:val="TableContents"/>
            </w:pPr>
            <w:r>
              <w:t>Ein Netzwerk-Administrator konfiguriert, betreibt und überwacht Datennetze für Computer.</w:t>
            </w:r>
          </w:p>
          <w:p w14:paraId="6674F5CC" w14:textId="77777777" w:rsidR="00B53709" w:rsidRDefault="005E4C2C">
            <w:pPr>
              <w:pStyle w:val="TableContents"/>
            </w:pPr>
            <w:r>
              <w:t>Aufgaben: Authentifizierung der Benutzer, Benutzerrechte verwalten, Nutzung dokumentieren, Updates (Sicherheitsaktualisierungen) durchführen, Netzverkehr überwachen, Malware bekämpfen.</w:t>
            </w:r>
          </w:p>
        </w:tc>
      </w:tr>
      <w:tr w:rsidR="00B53709" w14:paraId="6588016A" w14:textId="77777777" w:rsidTr="009109E9">
        <w:trPr>
          <w:cantSplit/>
        </w:trPr>
        <w:tc>
          <w:tcPr>
            <w:tcW w:w="2490" w:type="dxa"/>
            <w:tcMar>
              <w:top w:w="55" w:type="dxa"/>
              <w:left w:w="55" w:type="dxa"/>
              <w:bottom w:w="55" w:type="dxa"/>
              <w:right w:w="55" w:type="dxa"/>
            </w:tcMar>
            <w:vAlign w:val="center"/>
          </w:tcPr>
          <w:p w14:paraId="06B5DC98" w14:textId="77777777" w:rsidR="00B53709" w:rsidRDefault="005E4C2C">
            <w:pPr>
              <w:pStyle w:val="Begriff"/>
            </w:pPr>
            <w:r>
              <w:t>Passwörter</w:t>
            </w:r>
          </w:p>
        </w:tc>
        <w:tc>
          <w:tcPr>
            <w:tcW w:w="7243" w:type="dxa"/>
            <w:tcMar>
              <w:top w:w="55" w:type="dxa"/>
              <w:left w:w="55" w:type="dxa"/>
              <w:bottom w:w="55" w:type="dxa"/>
              <w:right w:w="55" w:type="dxa"/>
            </w:tcMar>
          </w:tcPr>
          <w:p w14:paraId="67947611" w14:textId="5E7EBF75" w:rsidR="00B14FC7" w:rsidRDefault="00B62D63">
            <w:pPr>
              <w:pStyle w:val="TableContents"/>
            </w:pPr>
            <w:r>
              <w:t xml:space="preserve">Sichere Passwörter bestehen mindestens aus </w:t>
            </w:r>
            <w:r w:rsidRPr="00BC7861">
              <w:t xml:space="preserve">acht </w:t>
            </w:r>
            <w:r w:rsidRPr="00117413">
              <w:rPr>
                <w:b/>
              </w:rPr>
              <w:t xml:space="preserve">Buchstaben, Zahlen </w:t>
            </w:r>
            <w:r w:rsidRPr="00BC7861">
              <w:t>und</w:t>
            </w:r>
            <w:r w:rsidRPr="00117413">
              <w:rPr>
                <w:b/>
              </w:rPr>
              <w:t xml:space="preserve"> </w:t>
            </w:r>
            <w:r w:rsidRPr="00BC7861">
              <w:t>eventuell aus</w:t>
            </w:r>
            <w:r>
              <w:rPr>
                <w:b/>
              </w:rPr>
              <w:t xml:space="preserve"> </w:t>
            </w:r>
            <w:r w:rsidRPr="00117413">
              <w:rPr>
                <w:b/>
              </w:rPr>
              <w:t>Sonderzeichen</w:t>
            </w:r>
            <w:r>
              <w:t>. Für jeden Zugang ein eigenes Passwort!</w:t>
            </w:r>
          </w:p>
          <w:p w14:paraId="09DC5A7C" w14:textId="625F6C0A" w:rsidR="00117413" w:rsidRDefault="00117413">
            <w:pPr>
              <w:pStyle w:val="TableContents"/>
            </w:pPr>
            <w:r w:rsidRPr="00117413">
              <w:rPr>
                <w:b/>
              </w:rPr>
              <w:t>Einmal-Kennwörter</w:t>
            </w:r>
            <w:r>
              <w:t xml:space="preserve"> sind nur für </w:t>
            </w:r>
            <w:r w:rsidRPr="00117413">
              <w:rPr>
                <w:b/>
              </w:rPr>
              <w:t>einen Vorgang gültig</w:t>
            </w:r>
            <w:r>
              <w:t xml:space="preserve"> und daher sehr sicher.</w:t>
            </w:r>
          </w:p>
        </w:tc>
      </w:tr>
      <w:tr w:rsidR="00B53709" w14:paraId="016CA2E0" w14:textId="77777777" w:rsidTr="009109E9">
        <w:trPr>
          <w:cantSplit/>
        </w:trPr>
        <w:tc>
          <w:tcPr>
            <w:tcW w:w="2490" w:type="dxa"/>
            <w:tcMar>
              <w:top w:w="55" w:type="dxa"/>
              <w:left w:w="55" w:type="dxa"/>
              <w:bottom w:w="55" w:type="dxa"/>
              <w:right w:w="55" w:type="dxa"/>
            </w:tcMar>
            <w:vAlign w:val="center"/>
          </w:tcPr>
          <w:p w14:paraId="2DAB2C74" w14:textId="77777777" w:rsidR="00B53709" w:rsidRDefault="005E4C2C">
            <w:pPr>
              <w:pStyle w:val="Begriff"/>
            </w:pPr>
            <w:r>
              <w:t>Passwort-Manager</w:t>
            </w:r>
          </w:p>
        </w:tc>
        <w:tc>
          <w:tcPr>
            <w:tcW w:w="7243" w:type="dxa"/>
            <w:tcMar>
              <w:top w:w="55" w:type="dxa"/>
              <w:left w:w="55" w:type="dxa"/>
              <w:bottom w:w="55" w:type="dxa"/>
              <w:right w:w="55" w:type="dxa"/>
            </w:tcMar>
          </w:tcPr>
          <w:p w14:paraId="1AD53C07" w14:textId="77777777" w:rsidR="00B53709" w:rsidRDefault="005E4C2C">
            <w:pPr>
              <w:pStyle w:val="TableContents"/>
            </w:pPr>
            <w:r>
              <w:t xml:space="preserve">Ein Passwort-Manager speichert Daten wie Benutzernamen und Kennwörter an einem Ort auf der Festplatte des Computers. Statt sich viele Passwörter merken zu müssen, genügt jetzt ein Haupt-Passwort. </w:t>
            </w:r>
            <w:r>
              <w:br/>
              <w:t>Die Eingabe des Haupt-Passwortes gibt alle anderen frei.</w:t>
            </w:r>
          </w:p>
        </w:tc>
      </w:tr>
      <w:tr w:rsidR="00B53709" w14:paraId="3CBA7902" w14:textId="77777777" w:rsidTr="009109E9">
        <w:trPr>
          <w:cantSplit/>
        </w:trPr>
        <w:tc>
          <w:tcPr>
            <w:tcW w:w="2490" w:type="dxa"/>
            <w:tcMar>
              <w:top w:w="55" w:type="dxa"/>
              <w:left w:w="55" w:type="dxa"/>
              <w:bottom w:w="55" w:type="dxa"/>
              <w:right w:w="55" w:type="dxa"/>
            </w:tcMar>
            <w:vAlign w:val="center"/>
          </w:tcPr>
          <w:p w14:paraId="3FB1260B" w14:textId="77777777" w:rsidR="00B53709" w:rsidRDefault="005E4C2C">
            <w:pPr>
              <w:pStyle w:val="Begriff"/>
            </w:pPr>
            <w:r>
              <w:t>Persönlicher Hotspot</w:t>
            </w:r>
            <w:r>
              <w:br/>
            </w:r>
            <w:bookmarkStart w:id="0" w:name="_GoBack"/>
            <w:r w:rsidRPr="00006B3C">
              <w:t>Tethering</w:t>
            </w:r>
            <w:bookmarkEnd w:id="0"/>
          </w:p>
        </w:tc>
        <w:tc>
          <w:tcPr>
            <w:tcW w:w="7243" w:type="dxa"/>
            <w:tcMar>
              <w:top w:w="55" w:type="dxa"/>
              <w:left w:w="55" w:type="dxa"/>
              <w:bottom w:w="55" w:type="dxa"/>
              <w:right w:w="55" w:type="dxa"/>
            </w:tcMar>
          </w:tcPr>
          <w:p w14:paraId="0A0D5675" w14:textId="77777777" w:rsidR="00B53709" w:rsidRDefault="005E4C2C">
            <w:pPr>
              <w:pStyle w:val="TableContents"/>
            </w:pPr>
            <w:r>
              <w:t xml:space="preserve">Steht kein WLAN zur Verfügung, kann mit einem Smartphone ein persönlicher Hotspot (ein eigenes WLAN) zur Verfügung gestellt werden. Damit wird die mobile Datenverbindung des Smartphones für andere Geräte (Computer, Tablets, weitere Smartphones) freigegeben. </w:t>
            </w:r>
            <w:r>
              <w:br/>
              <w:t>Für den Hotspot sollte ein sicheres Passwort vergeben werden.</w:t>
            </w:r>
          </w:p>
        </w:tc>
      </w:tr>
      <w:tr w:rsidR="00B53709" w14:paraId="2EC489A4" w14:textId="77777777" w:rsidTr="009109E9">
        <w:trPr>
          <w:cantSplit/>
        </w:trPr>
        <w:tc>
          <w:tcPr>
            <w:tcW w:w="2490" w:type="dxa"/>
            <w:tcMar>
              <w:top w:w="55" w:type="dxa"/>
              <w:left w:w="55" w:type="dxa"/>
              <w:bottom w:w="55" w:type="dxa"/>
              <w:right w:w="55" w:type="dxa"/>
            </w:tcMar>
            <w:vAlign w:val="center"/>
          </w:tcPr>
          <w:p w14:paraId="58C10589" w14:textId="7CFE6339" w:rsidR="00B53709" w:rsidRDefault="005E4C2C">
            <w:pPr>
              <w:pStyle w:val="Begriff"/>
            </w:pPr>
            <w:r>
              <w:t>Phishing</w:t>
            </w:r>
            <w:r w:rsidR="00F80EB3">
              <w:t>-Mail</w:t>
            </w:r>
          </w:p>
        </w:tc>
        <w:tc>
          <w:tcPr>
            <w:tcW w:w="7243" w:type="dxa"/>
            <w:tcMar>
              <w:top w:w="55" w:type="dxa"/>
              <w:left w:w="55" w:type="dxa"/>
              <w:bottom w:w="55" w:type="dxa"/>
              <w:right w:w="55" w:type="dxa"/>
            </w:tcMar>
          </w:tcPr>
          <w:p w14:paraId="7FFE415E" w14:textId="09178878" w:rsidR="00B53709" w:rsidRDefault="005E4C2C">
            <w:pPr>
              <w:pStyle w:val="TableContents"/>
            </w:pPr>
            <w:r>
              <w:rPr>
                <w:rStyle w:val="Anleitungfett"/>
              </w:rPr>
              <w:t>Phishing</w:t>
            </w:r>
            <w:r>
              <w:rPr>
                <w:rStyle w:val="Anleitung"/>
              </w:rPr>
              <w:t xml:space="preserve">: Kunstwort </w:t>
            </w:r>
            <w:r w:rsidR="004764BC">
              <w:rPr>
                <w:rStyle w:val="Anleitung"/>
              </w:rPr>
              <w:t>abgele</w:t>
            </w:r>
            <w:r>
              <w:rPr>
                <w:rStyle w:val="Anleitung"/>
              </w:rPr>
              <w:t xml:space="preserve">itet von </w:t>
            </w:r>
            <w:proofErr w:type="spellStart"/>
            <w:r>
              <w:rPr>
                <w:rStyle w:val="Anleitungfett"/>
              </w:rPr>
              <w:t>fishing</w:t>
            </w:r>
            <w:proofErr w:type="spellEnd"/>
            <w:r>
              <w:rPr>
                <w:rStyle w:val="Anleitung"/>
              </w:rPr>
              <w:t xml:space="preserve"> (Angeln, Fischen), meint das Angeln nach Passwörtern mit Ködern.</w:t>
            </w:r>
          </w:p>
          <w:p w14:paraId="581EA2DE" w14:textId="77777777" w:rsidR="00B53709" w:rsidRDefault="005E4C2C">
            <w:pPr>
              <w:pStyle w:val="TableContents"/>
            </w:pPr>
            <w:r>
              <w:t>Eine gefälschte E-Mail verleitet den Anwender geheime Zugangsdaten einzugeben.</w:t>
            </w:r>
          </w:p>
          <w:p w14:paraId="2A5AF1E5" w14:textId="77777777" w:rsidR="00B53709" w:rsidRDefault="005E4C2C">
            <w:pPr>
              <w:pStyle w:val="TableContents"/>
            </w:pPr>
            <w:r>
              <w:t>Ziel des Betrugs ist es, mit den erhaltenen Daten von Konten Geld zu beheben.</w:t>
            </w:r>
          </w:p>
          <w:p w14:paraId="7DFEB076" w14:textId="77777777" w:rsidR="00B53709" w:rsidRDefault="005E4C2C">
            <w:pPr>
              <w:pStyle w:val="TableContents"/>
            </w:pPr>
            <w:r>
              <w:t xml:space="preserve">Bei dieser Form des </w:t>
            </w:r>
            <w:proofErr w:type="spellStart"/>
            <w:r>
              <w:t>Social</w:t>
            </w:r>
            <w:proofErr w:type="spellEnd"/>
            <w:r>
              <w:t xml:space="preserve"> Engineering wird die Gutgläubigkeit des Opfers ausgenutzt.</w:t>
            </w:r>
          </w:p>
        </w:tc>
      </w:tr>
      <w:tr w:rsidR="00B53709" w14:paraId="0F2536DB" w14:textId="77777777" w:rsidTr="009109E9">
        <w:trPr>
          <w:cantSplit/>
        </w:trPr>
        <w:tc>
          <w:tcPr>
            <w:tcW w:w="2490" w:type="dxa"/>
            <w:tcMar>
              <w:top w:w="55" w:type="dxa"/>
              <w:left w:w="55" w:type="dxa"/>
              <w:bottom w:w="55" w:type="dxa"/>
              <w:right w:w="55" w:type="dxa"/>
            </w:tcMar>
            <w:vAlign w:val="center"/>
          </w:tcPr>
          <w:p w14:paraId="44E12C46" w14:textId="77777777" w:rsidR="00B53709" w:rsidRDefault="005E4C2C">
            <w:pPr>
              <w:pStyle w:val="Begriff"/>
            </w:pPr>
            <w:r>
              <w:t>PIN</w:t>
            </w:r>
          </w:p>
        </w:tc>
        <w:tc>
          <w:tcPr>
            <w:tcW w:w="7243" w:type="dxa"/>
            <w:tcMar>
              <w:top w:w="55" w:type="dxa"/>
              <w:left w:w="55" w:type="dxa"/>
              <w:bottom w:w="55" w:type="dxa"/>
              <w:right w:w="55" w:type="dxa"/>
            </w:tcMar>
          </w:tcPr>
          <w:p w14:paraId="0D6C4F27" w14:textId="318A427F" w:rsidR="00117413" w:rsidRDefault="005E4C2C">
            <w:pPr>
              <w:pStyle w:val="TableContents"/>
            </w:pPr>
            <w:r>
              <w:rPr>
                <w:b/>
                <w:bCs/>
              </w:rPr>
              <w:t>P</w:t>
            </w:r>
            <w:r>
              <w:t>ersönliche</w:t>
            </w:r>
            <w:r>
              <w:rPr>
                <w:b/>
                <w:bCs/>
              </w:rPr>
              <w:t xml:space="preserve"> I</w:t>
            </w:r>
            <w:r>
              <w:t>dentifikations</w:t>
            </w:r>
            <w:r>
              <w:rPr>
                <w:b/>
                <w:bCs/>
              </w:rPr>
              <w:t>n</w:t>
            </w:r>
            <w:r>
              <w:t>ummer (PIN) oder Geheimzahl, mit der sich Personen authentifizieren können. Eine PIN besteht meistens aus Ziffern. Beispiel: PIN für die Bankomatkarte.</w:t>
            </w:r>
          </w:p>
        </w:tc>
      </w:tr>
      <w:tr w:rsidR="00B53709" w14:paraId="67B95807" w14:textId="77777777" w:rsidTr="009109E9">
        <w:trPr>
          <w:cantSplit/>
        </w:trPr>
        <w:tc>
          <w:tcPr>
            <w:tcW w:w="2490" w:type="dxa"/>
            <w:tcMar>
              <w:top w:w="55" w:type="dxa"/>
              <w:left w:w="55" w:type="dxa"/>
              <w:bottom w:w="55" w:type="dxa"/>
              <w:right w:w="55" w:type="dxa"/>
            </w:tcMar>
            <w:vAlign w:val="center"/>
          </w:tcPr>
          <w:p w14:paraId="21B61F11" w14:textId="77777777" w:rsidR="00B53709" w:rsidRDefault="005E4C2C">
            <w:pPr>
              <w:pStyle w:val="Begriff"/>
            </w:pPr>
            <w:r>
              <w:t xml:space="preserve">Personenbezogene </w:t>
            </w:r>
            <w:r>
              <w:br/>
              <w:t>Daten</w:t>
            </w:r>
          </w:p>
        </w:tc>
        <w:tc>
          <w:tcPr>
            <w:tcW w:w="7243" w:type="dxa"/>
            <w:tcMar>
              <w:top w:w="55" w:type="dxa"/>
              <w:left w:w="55" w:type="dxa"/>
              <w:bottom w:w="55" w:type="dxa"/>
              <w:right w:w="55" w:type="dxa"/>
            </w:tcMar>
          </w:tcPr>
          <w:p w14:paraId="62D288CB" w14:textId="77777777" w:rsidR="00B53709" w:rsidRDefault="005E4C2C">
            <w:pPr>
              <w:pStyle w:val="TableContents"/>
            </w:pPr>
            <w:r>
              <w:t>Personenbezogene Daten sind z. B. Geburtsdatum, Adresse, E-Mailadresse, Telefonnummer, Einkommen und Beruf.</w:t>
            </w:r>
          </w:p>
          <w:p w14:paraId="41D6C7BC" w14:textId="77777777" w:rsidR="00B53709" w:rsidRDefault="005E4C2C">
            <w:pPr>
              <w:pStyle w:val="TableContents"/>
            </w:pPr>
            <w:r>
              <w:t>Besonders schutzwürdig (sensibel) sind Daten wie Religionsbekenntnis, rassische und ethnische Herkunft, politische Meinung, Gesundheit oder das Sexualleben.</w:t>
            </w:r>
          </w:p>
        </w:tc>
      </w:tr>
      <w:tr w:rsidR="00B53709" w14:paraId="5774FBF0" w14:textId="77777777" w:rsidTr="009109E9">
        <w:trPr>
          <w:cantSplit/>
        </w:trPr>
        <w:tc>
          <w:tcPr>
            <w:tcW w:w="2490" w:type="dxa"/>
            <w:tcMar>
              <w:top w:w="55" w:type="dxa"/>
              <w:left w:w="55" w:type="dxa"/>
              <w:bottom w:w="55" w:type="dxa"/>
              <w:right w:w="55" w:type="dxa"/>
            </w:tcMar>
            <w:vAlign w:val="center"/>
          </w:tcPr>
          <w:p w14:paraId="4C72F17D" w14:textId="77777777" w:rsidR="00B53709" w:rsidRDefault="005E4C2C">
            <w:pPr>
              <w:pStyle w:val="Begriff"/>
            </w:pPr>
            <w:proofErr w:type="spellStart"/>
            <w:r>
              <w:t>Pharming</w:t>
            </w:r>
            <w:proofErr w:type="spellEnd"/>
          </w:p>
        </w:tc>
        <w:tc>
          <w:tcPr>
            <w:tcW w:w="7243" w:type="dxa"/>
            <w:tcMar>
              <w:top w:w="55" w:type="dxa"/>
              <w:left w:w="55" w:type="dxa"/>
              <w:bottom w:w="55" w:type="dxa"/>
              <w:right w:w="55" w:type="dxa"/>
            </w:tcMar>
          </w:tcPr>
          <w:p w14:paraId="70A7264B" w14:textId="77777777" w:rsidR="00B53709" w:rsidRDefault="005E4C2C">
            <w:pPr>
              <w:pStyle w:val="TableContents"/>
            </w:pPr>
            <w:r>
              <w:t>Betrugsmethode, bei der Anwender auf eine gefälschte Seite umgeleitet wird.</w:t>
            </w:r>
          </w:p>
        </w:tc>
      </w:tr>
      <w:tr w:rsidR="00B53709" w14:paraId="257C72E0" w14:textId="77777777" w:rsidTr="009109E9">
        <w:trPr>
          <w:cantSplit/>
        </w:trPr>
        <w:tc>
          <w:tcPr>
            <w:tcW w:w="2490" w:type="dxa"/>
            <w:tcMar>
              <w:top w:w="55" w:type="dxa"/>
              <w:left w:w="55" w:type="dxa"/>
              <w:bottom w:w="55" w:type="dxa"/>
              <w:right w:w="55" w:type="dxa"/>
            </w:tcMar>
            <w:vAlign w:val="center"/>
          </w:tcPr>
          <w:p w14:paraId="3DF20738" w14:textId="77777777" w:rsidR="00B53709" w:rsidRDefault="005E4C2C">
            <w:pPr>
              <w:pStyle w:val="Begriff"/>
            </w:pPr>
            <w:proofErr w:type="spellStart"/>
            <w:r>
              <w:t>Pretexting</w:t>
            </w:r>
            <w:proofErr w:type="spellEnd"/>
          </w:p>
        </w:tc>
        <w:tc>
          <w:tcPr>
            <w:tcW w:w="7243" w:type="dxa"/>
            <w:tcMar>
              <w:top w:w="55" w:type="dxa"/>
              <w:left w:w="55" w:type="dxa"/>
              <w:bottom w:w="55" w:type="dxa"/>
              <w:right w:w="55" w:type="dxa"/>
            </w:tcMar>
          </w:tcPr>
          <w:p w14:paraId="090BD1CE" w14:textId="77777777" w:rsidR="00B53709" w:rsidRDefault="005E4C2C">
            <w:pPr>
              <w:pStyle w:val="TableContents"/>
            </w:pPr>
            <w:r>
              <w:t xml:space="preserve">Daten eines Dritten (unter Vorgabe einer fremden Identität) besorgen. </w:t>
            </w:r>
            <w:r>
              <w:br/>
            </w:r>
            <w:proofErr w:type="spellStart"/>
            <w:r>
              <w:t>Pretexting</w:t>
            </w:r>
            <w:proofErr w:type="spellEnd"/>
            <w:r>
              <w:t xml:space="preserve"> ist ein anderer Begriff für Identitätsdiebstahl. </w:t>
            </w:r>
            <w:proofErr w:type="spellStart"/>
            <w:r>
              <w:t>Pretexting</w:t>
            </w:r>
            <w:proofErr w:type="spellEnd"/>
            <w:r>
              <w:t xml:space="preserve"> ist eine im </w:t>
            </w:r>
            <w:proofErr w:type="spellStart"/>
            <w:r>
              <w:t>Social</w:t>
            </w:r>
            <w:proofErr w:type="spellEnd"/>
            <w:r>
              <w:t xml:space="preserve"> Engineering angewandte Methode.</w:t>
            </w:r>
          </w:p>
        </w:tc>
      </w:tr>
      <w:tr w:rsidR="00B53709" w14:paraId="60863680" w14:textId="77777777" w:rsidTr="009109E9">
        <w:trPr>
          <w:cantSplit/>
        </w:trPr>
        <w:tc>
          <w:tcPr>
            <w:tcW w:w="2490" w:type="dxa"/>
            <w:tcMar>
              <w:top w:w="55" w:type="dxa"/>
              <w:left w:w="55" w:type="dxa"/>
              <w:bottom w:w="55" w:type="dxa"/>
              <w:right w:w="55" w:type="dxa"/>
            </w:tcMar>
            <w:vAlign w:val="center"/>
          </w:tcPr>
          <w:p w14:paraId="324FC734" w14:textId="77777777" w:rsidR="00B53709" w:rsidRDefault="005E4C2C">
            <w:pPr>
              <w:pStyle w:val="Begriff"/>
            </w:pPr>
            <w:r>
              <w:t>Privatsphäre</w:t>
            </w:r>
          </w:p>
        </w:tc>
        <w:tc>
          <w:tcPr>
            <w:tcW w:w="7243" w:type="dxa"/>
            <w:tcMar>
              <w:top w:w="55" w:type="dxa"/>
              <w:left w:w="55" w:type="dxa"/>
              <w:bottom w:w="55" w:type="dxa"/>
              <w:right w:w="55" w:type="dxa"/>
            </w:tcMar>
          </w:tcPr>
          <w:p w14:paraId="0C17E2A6" w14:textId="083E8D88" w:rsidR="009109E9" w:rsidRDefault="009109E9">
            <w:pPr>
              <w:pStyle w:val="TableContents"/>
            </w:pPr>
            <w:r>
              <w:t>Mit der Verbindung zum Internet ist es besonders wichtig, auf seine Privatsphäre zu achten.</w:t>
            </w:r>
          </w:p>
          <w:p w14:paraId="3999E8D6" w14:textId="74DD34FC" w:rsidR="009109E9" w:rsidRDefault="009109E9">
            <w:pPr>
              <w:pStyle w:val="TableContents"/>
            </w:pPr>
            <w:r>
              <w:t xml:space="preserve">Beispiel: </w:t>
            </w:r>
            <w:r w:rsidR="005E4C2C">
              <w:t>Apps können auf private Informationen zugreifen</w:t>
            </w:r>
            <w:r>
              <w:t xml:space="preserve"> -</w:t>
            </w:r>
            <w:r w:rsidR="005E4C2C">
              <w:t xml:space="preserve"> Standortverlauf, Bilder und Videos, Kontakte.</w:t>
            </w:r>
          </w:p>
        </w:tc>
      </w:tr>
      <w:tr w:rsidR="00B53709" w14:paraId="1187DD6C" w14:textId="77777777" w:rsidTr="009109E9">
        <w:trPr>
          <w:cantSplit/>
        </w:trPr>
        <w:tc>
          <w:tcPr>
            <w:tcW w:w="2490" w:type="dxa"/>
            <w:tcMar>
              <w:top w:w="55" w:type="dxa"/>
              <w:left w:w="55" w:type="dxa"/>
              <w:bottom w:w="55" w:type="dxa"/>
              <w:right w:w="55" w:type="dxa"/>
            </w:tcMar>
            <w:vAlign w:val="center"/>
          </w:tcPr>
          <w:p w14:paraId="17E5C7C3" w14:textId="77777777" w:rsidR="00B53709" w:rsidRDefault="005E4C2C">
            <w:pPr>
              <w:pStyle w:val="Begriff"/>
            </w:pPr>
            <w:r>
              <w:lastRenderedPageBreak/>
              <w:t>Quarantäne</w:t>
            </w:r>
          </w:p>
        </w:tc>
        <w:tc>
          <w:tcPr>
            <w:tcW w:w="7243" w:type="dxa"/>
            <w:tcMar>
              <w:top w:w="55" w:type="dxa"/>
              <w:left w:w="55" w:type="dxa"/>
              <w:bottom w:w="55" w:type="dxa"/>
              <w:right w:w="55" w:type="dxa"/>
            </w:tcMar>
          </w:tcPr>
          <w:p w14:paraId="652D2F99" w14:textId="77777777" w:rsidR="00B53709" w:rsidRDefault="005E4C2C">
            <w:pPr>
              <w:pStyle w:val="TableContents"/>
            </w:pPr>
            <w:r>
              <w:t>Verdächtige Dateien werden vom Antivirenprogramm in den Quarantäneordner verschoben. So können sie keinen Schaden mehr anrichten.</w:t>
            </w:r>
          </w:p>
        </w:tc>
      </w:tr>
      <w:tr w:rsidR="00B53709" w14:paraId="6B6967D1" w14:textId="77777777" w:rsidTr="009109E9">
        <w:trPr>
          <w:cantSplit/>
        </w:trPr>
        <w:tc>
          <w:tcPr>
            <w:tcW w:w="2490" w:type="dxa"/>
            <w:tcMar>
              <w:top w:w="55" w:type="dxa"/>
              <w:left w:w="55" w:type="dxa"/>
              <w:bottom w:w="55" w:type="dxa"/>
              <w:right w:w="55" w:type="dxa"/>
            </w:tcMar>
            <w:vAlign w:val="center"/>
          </w:tcPr>
          <w:p w14:paraId="24462DBC" w14:textId="77777777" w:rsidR="00B53709" w:rsidRDefault="005E4C2C">
            <w:pPr>
              <w:pStyle w:val="Begriff"/>
            </w:pPr>
            <w:r>
              <w:t>Ransomware</w:t>
            </w:r>
          </w:p>
        </w:tc>
        <w:tc>
          <w:tcPr>
            <w:tcW w:w="7243" w:type="dxa"/>
            <w:tcMar>
              <w:top w:w="55" w:type="dxa"/>
              <w:left w:w="55" w:type="dxa"/>
              <w:bottom w:w="55" w:type="dxa"/>
              <w:right w:w="55" w:type="dxa"/>
            </w:tcMar>
          </w:tcPr>
          <w:p w14:paraId="3355534C" w14:textId="77777777" w:rsidR="00B53709" w:rsidRDefault="005E4C2C">
            <w:pPr>
              <w:pStyle w:val="TableContents"/>
            </w:pPr>
            <w:r>
              <w:t>Erpressungstrojaner. Daten werden auf dem PC verschlüsselt. Für die Entschlüsselung wird Lösegeld verlangt.</w:t>
            </w:r>
          </w:p>
        </w:tc>
      </w:tr>
      <w:tr w:rsidR="00B53709" w14:paraId="08EC02D8" w14:textId="77777777" w:rsidTr="009109E9">
        <w:trPr>
          <w:cantSplit/>
        </w:trPr>
        <w:tc>
          <w:tcPr>
            <w:tcW w:w="2490" w:type="dxa"/>
            <w:tcMar>
              <w:top w:w="55" w:type="dxa"/>
              <w:left w:w="55" w:type="dxa"/>
              <w:bottom w:w="55" w:type="dxa"/>
              <w:right w:w="55" w:type="dxa"/>
            </w:tcMar>
            <w:vAlign w:val="center"/>
          </w:tcPr>
          <w:p w14:paraId="45C0BBA1" w14:textId="77777777" w:rsidR="00B53709" w:rsidRDefault="005E4C2C">
            <w:pPr>
              <w:pStyle w:val="Begriff"/>
            </w:pPr>
            <w:r>
              <w:t>Rootkit</w:t>
            </w:r>
          </w:p>
        </w:tc>
        <w:tc>
          <w:tcPr>
            <w:tcW w:w="7243" w:type="dxa"/>
            <w:tcMar>
              <w:top w:w="55" w:type="dxa"/>
              <w:left w:w="55" w:type="dxa"/>
              <w:bottom w:w="55" w:type="dxa"/>
              <w:right w:w="55" w:type="dxa"/>
            </w:tcMar>
          </w:tcPr>
          <w:p w14:paraId="0DEAEF53" w14:textId="77777777" w:rsidR="00B53709" w:rsidRDefault="005E4C2C">
            <w:pPr>
              <w:pStyle w:val="TableContents"/>
            </w:pPr>
            <w:r>
              <w:t>Ein Programm, das Malware im Betriebssystem so versteckt, dass sie von Antivirenprogramme nicht entdeckt werden.</w:t>
            </w:r>
          </w:p>
        </w:tc>
      </w:tr>
      <w:tr w:rsidR="00B53709" w14:paraId="4E3C9049" w14:textId="77777777" w:rsidTr="009109E9">
        <w:trPr>
          <w:cantSplit/>
        </w:trPr>
        <w:tc>
          <w:tcPr>
            <w:tcW w:w="2490" w:type="dxa"/>
            <w:tcMar>
              <w:top w:w="55" w:type="dxa"/>
              <w:left w:w="55" w:type="dxa"/>
              <w:bottom w:w="55" w:type="dxa"/>
              <w:right w:w="55" w:type="dxa"/>
            </w:tcMar>
            <w:vAlign w:val="center"/>
          </w:tcPr>
          <w:p w14:paraId="6135DB14" w14:textId="77777777" w:rsidR="00B53709" w:rsidRDefault="005E4C2C">
            <w:pPr>
              <w:pStyle w:val="Begriff"/>
            </w:pPr>
            <w:proofErr w:type="spellStart"/>
            <w:r>
              <w:t>Shoulder</w:t>
            </w:r>
            <w:proofErr w:type="spellEnd"/>
            <w:r>
              <w:t xml:space="preserve"> Surfing</w:t>
            </w:r>
          </w:p>
        </w:tc>
        <w:tc>
          <w:tcPr>
            <w:tcW w:w="7243" w:type="dxa"/>
            <w:tcMar>
              <w:top w:w="55" w:type="dxa"/>
              <w:left w:w="55" w:type="dxa"/>
              <w:bottom w:w="55" w:type="dxa"/>
              <w:right w:w="55" w:type="dxa"/>
            </w:tcMar>
          </w:tcPr>
          <w:p w14:paraId="6A227A76" w14:textId="025199A3" w:rsidR="00B53709" w:rsidRDefault="005E4C2C">
            <w:pPr>
              <w:pStyle w:val="TableContents"/>
            </w:pPr>
            <w:r>
              <w:t>Ausspähen von PINs oder Passwörtern bei der Eingabe von Daten.</w:t>
            </w:r>
          </w:p>
          <w:p w14:paraId="47C0E5CC" w14:textId="142CDB89" w:rsidR="00106EBA" w:rsidRDefault="00106EBA">
            <w:pPr>
              <w:pStyle w:val="TableContents"/>
            </w:pPr>
            <w:r>
              <w:t xml:space="preserve">Beispiel: Geldbehebung </w:t>
            </w:r>
            <w:r w:rsidR="002D50D8">
              <w:t>beim Bankomaten</w:t>
            </w:r>
          </w:p>
        </w:tc>
      </w:tr>
      <w:tr w:rsidR="00B53709" w14:paraId="4AE23214" w14:textId="77777777" w:rsidTr="009109E9">
        <w:trPr>
          <w:cantSplit/>
        </w:trPr>
        <w:tc>
          <w:tcPr>
            <w:tcW w:w="2490" w:type="dxa"/>
            <w:tcMar>
              <w:top w:w="55" w:type="dxa"/>
              <w:left w:w="55" w:type="dxa"/>
              <w:bottom w:w="55" w:type="dxa"/>
              <w:right w:w="55" w:type="dxa"/>
            </w:tcMar>
            <w:vAlign w:val="center"/>
          </w:tcPr>
          <w:p w14:paraId="04781DCF" w14:textId="77777777" w:rsidR="00B53709" w:rsidRDefault="005E4C2C">
            <w:pPr>
              <w:pStyle w:val="Begriff"/>
            </w:pPr>
            <w:r>
              <w:t>Sichere Webseiten</w:t>
            </w:r>
          </w:p>
        </w:tc>
        <w:tc>
          <w:tcPr>
            <w:tcW w:w="7243" w:type="dxa"/>
            <w:tcMar>
              <w:top w:w="55" w:type="dxa"/>
              <w:left w:w="55" w:type="dxa"/>
              <w:bottom w:w="55" w:type="dxa"/>
              <w:right w:w="55" w:type="dxa"/>
            </w:tcMar>
          </w:tcPr>
          <w:p w14:paraId="0F1C4726" w14:textId="0C48AE96" w:rsidR="00B53709" w:rsidRDefault="005E4C2C">
            <w:pPr>
              <w:pStyle w:val="TableContents"/>
            </w:pPr>
            <w:r>
              <w:t xml:space="preserve">Erkennbar an: </w:t>
            </w:r>
            <w:r>
              <w:rPr>
                <w:rStyle w:val="fettkursiv"/>
              </w:rPr>
              <w:t>https</w:t>
            </w:r>
            <w:r>
              <w:t xml:space="preserve"> (</w:t>
            </w:r>
            <w:r>
              <w:rPr>
                <w:rStyle w:val="fettkursiv"/>
              </w:rPr>
              <w:t>s</w:t>
            </w:r>
            <w:r>
              <w:t>=</w:t>
            </w:r>
            <w:proofErr w:type="spellStart"/>
            <w:r>
              <w:t>secure</w:t>
            </w:r>
            <w:proofErr w:type="spellEnd"/>
            <w:r>
              <w:t>) und dem Vorhangschloss. Sichere Webseiten haben ein digitales Zertifikat. Die Datenübertragung von gesicherten Webseiten erfolgt verschlüsselt.</w:t>
            </w:r>
            <w:r>
              <w:br/>
              <w:t>Fast alle Webseiten, insbesondere Online-Banking und E-Commerce verwenden sichere Webseiten.</w:t>
            </w:r>
          </w:p>
        </w:tc>
      </w:tr>
    </w:tbl>
    <w:p w14:paraId="62A808B9" w14:textId="52D56D59" w:rsidR="00EC1269" w:rsidRDefault="00A80C99" w:rsidP="00EC1269">
      <w:pPr>
        <w:pStyle w:val="berschrift1"/>
        <w:spacing w:after="240"/>
      </w:pPr>
      <w:r>
        <w:t>Ergänze bzw. b</w:t>
      </w:r>
      <w:r w:rsidR="00EC1269">
        <w:t>eantworte folgende Fragen!</w:t>
      </w:r>
    </w:p>
    <w:p w14:paraId="63638AC7" w14:textId="1C8941FC" w:rsidR="00A80C99" w:rsidRDefault="00A80C99" w:rsidP="00A80C99">
      <w:pPr>
        <w:spacing w:before="240" w:after="240"/>
      </w:pPr>
      <w:r>
        <w:t>Ein _____________________ speichert Daten wie Benutzernamen und Kennwörter an einem Ort auf der Festplatte des Computers. Statt sich viele Passwörter merken zu müssen, genügt jetzt ein Haupt-Passwort.</w:t>
      </w:r>
    </w:p>
    <w:p w14:paraId="7CCFF1DF" w14:textId="77777777" w:rsidR="00BD09C7" w:rsidRDefault="00BD09C7" w:rsidP="00A80C99">
      <w:pPr>
        <w:spacing w:before="240" w:after="240"/>
      </w:pPr>
      <w:r>
        <w:t>Welches Wort kann für Tethering verwendet werden?</w:t>
      </w:r>
    </w:p>
    <w:p w14:paraId="507EE256" w14:textId="77777777" w:rsidR="00BD09C7" w:rsidRDefault="00BD09C7">
      <w:r>
        <w:t>A: ________________</w:t>
      </w:r>
    </w:p>
    <w:p w14:paraId="2EBDCD7E" w14:textId="4351E6B7" w:rsidR="00BD09C7" w:rsidRDefault="00BD09C7">
      <w:r>
        <w:t xml:space="preserve">Wie heißt eine E-Mail, die vom Nutzer Zugangsdaten </w:t>
      </w:r>
      <w:r w:rsidR="00F80EB3">
        <w:t xml:space="preserve">für kriminelle Zwecke </w:t>
      </w:r>
      <w:r>
        <w:t>abfragt?</w:t>
      </w:r>
    </w:p>
    <w:p w14:paraId="428122DB" w14:textId="77777777" w:rsidR="00A80C99" w:rsidRDefault="00A80C99" w:rsidP="00A80C99">
      <w:r>
        <w:t>A: ________________</w:t>
      </w:r>
    </w:p>
    <w:p w14:paraId="6F22FB5B" w14:textId="63A27424" w:rsidR="00BD09C7" w:rsidRDefault="00D575E8">
      <w:r>
        <w:t xml:space="preserve">Wie wird </w:t>
      </w:r>
      <w:r>
        <w:rPr>
          <w:b/>
          <w:bCs/>
        </w:rPr>
        <w:t>P</w:t>
      </w:r>
      <w:r>
        <w:t>ersönliche</w:t>
      </w:r>
      <w:r>
        <w:rPr>
          <w:b/>
          <w:bCs/>
        </w:rPr>
        <w:t xml:space="preserve"> I</w:t>
      </w:r>
      <w:r>
        <w:t>dentifikations</w:t>
      </w:r>
      <w:r>
        <w:rPr>
          <w:b/>
          <w:bCs/>
        </w:rPr>
        <w:t>n</w:t>
      </w:r>
      <w:r>
        <w:t>ummer abgekürzt?</w:t>
      </w:r>
    </w:p>
    <w:p w14:paraId="2C11BD0F" w14:textId="77777777" w:rsidR="00A80C99" w:rsidRDefault="00A80C99" w:rsidP="00A80C99">
      <w:r>
        <w:t>A: ________________</w:t>
      </w:r>
    </w:p>
    <w:p w14:paraId="3F8EAA9C" w14:textId="23EAE194" w:rsidR="003964AA" w:rsidRDefault="003964AA">
      <w:r>
        <w:t>Wohin werden verdächtige Dateien werden vom Antivirenprogramm verschoben?</w:t>
      </w:r>
    </w:p>
    <w:p w14:paraId="5F340B6C" w14:textId="4182082F" w:rsidR="00A80C99" w:rsidRDefault="00A80C99" w:rsidP="00A80C99">
      <w:r>
        <w:t>A: ________________</w:t>
      </w:r>
    </w:p>
    <w:p w14:paraId="6AA70586" w14:textId="77777777" w:rsidR="00D575E8" w:rsidRDefault="00106EBA">
      <w:r>
        <w:t>Wie wird ein Erpressungstrojaner genannt?</w:t>
      </w:r>
    </w:p>
    <w:p w14:paraId="248BD6F9" w14:textId="104853D6" w:rsidR="00A80C99" w:rsidRDefault="00A80C99" w:rsidP="00A80C99">
      <w:r>
        <w:t>A: ________________</w:t>
      </w:r>
    </w:p>
    <w:p w14:paraId="23C2DA83" w14:textId="48BDC2AD" w:rsidR="00106EBA" w:rsidRDefault="00106EBA">
      <w:r>
        <w:t>Wie nenn man das Ausspähen von PINs oder Passwörtern bei der Eingabe von Daten?</w:t>
      </w:r>
    </w:p>
    <w:p w14:paraId="05459515" w14:textId="2C1AB465" w:rsidR="00A80C99" w:rsidRDefault="00A80C99" w:rsidP="00A80C99">
      <w:r>
        <w:t>A: ________________</w:t>
      </w:r>
    </w:p>
    <w:p w14:paraId="5974F0AA" w14:textId="1073593E" w:rsidR="00FE620B" w:rsidRDefault="00FE620B" w:rsidP="00653760">
      <w:pPr>
        <w:pStyle w:val="berschrift1"/>
        <w:spacing w:before="120"/>
      </w:pPr>
      <w:r>
        <w:t>Fotografiere den QR-Code und löse d</w:t>
      </w:r>
      <w:r w:rsidR="00B84633">
        <w:t>as</w:t>
      </w:r>
      <w:r>
        <w:t xml:space="preserve"> Quiz.</w:t>
      </w:r>
    </w:p>
    <w:p w14:paraId="76417FC6" w14:textId="7FCF8FA8" w:rsidR="00050624" w:rsidRDefault="00CA13F2" w:rsidP="00050624">
      <w:pPr>
        <w:ind w:left="2832" w:firstLine="708"/>
      </w:pPr>
      <w:r w:rsidRPr="00CA13F2">
        <w:t>https://forms.office.com/Pages/ShareFormPage.aspx?id=AkokVAb41UyTy6llfez7l_NzeA5oyahGrJxdOEVqsHNURTlJMEhZUVJNMUc2WDFBSUkxSkNBOE1RMS4u&amp;sharetoken=AhMFowjaGt3FcNWa0R69</w:t>
      </w:r>
    </w:p>
    <w:p w14:paraId="49CFBCD9" w14:textId="413CECFD" w:rsidR="00050624" w:rsidRDefault="00050624" w:rsidP="00050624">
      <w:pPr>
        <w:ind w:left="2832" w:firstLine="708"/>
      </w:pPr>
    </w:p>
    <w:p w14:paraId="5692219F" w14:textId="77777777" w:rsidR="00050624" w:rsidRDefault="00050624" w:rsidP="00050624">
      <w:pPr>
        <w:spacing w:after="0"/>
        <w:ind w:left="2829" w:firstLine="709"/>
      </w:pPr>
    </w:p>
    <w:p w14:paraId="3F20C1AE" w14:textId="77777777" w:rsidR="00FE620B" w:rsidRDefault="00050624" w:rsidP="00050624">
      <w:pPr>
        <w:spacing w:after="0"/>
        <w:ind w:left="2829" w:firstLine="709"/>
      </w:pPr>
      <w:r>
        <w:t>Erreichte Punkte: ______</w:t>
      </w:r>
    </w:p>
    <w:sectPr w:rsidR="00FE620B" w:rsidSect="009109E9">
      <w:headerReference w:type="default" r:id="rId10"/>
      <w:footerReference w:type="default" r:id="rId11"/>
      <w:pgSz w:w="11905" w:h="16837"/>
      <w:pgMar w:top="1678" w:right="1134" w:bottom="1134" w:left="1134" w:header="890" w:footer="9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AD8ED" w14:textId="77777777" w:rsidR="001F50D5" w:rsidRDefault="001F50D5">
      <w:pPr>
        <w:spacing w:after="0" w:line="240" w:lineRule="auto"/>
      </w:pPr>
      <w:r>
        <w:separator/>
      </w:r>
    </w:p>
  </w:endnote>
  <w:endnote w:type="continuationSeparator" w:id="0">
    <w:p w14:paraId="635F418A" w14:textId="77777777" w:rsidR="001F50D5" w:rsidRDefault="001F5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231D2" w14:textId="77777777" w:rsidR="009A1DFD" w:rsidRDefault="005E4C2C">
    <w:pPr>
      <w:pStyle w:val="Fuzeile"/>
      <w:tabs>
        <w:tab w:val="clear" w:pos="9637"/>
        <w:tab w:val="right" w:pos="9523"/>
      </w:tabs>
    </w:pPr>
    <w:r>
      <w:rPr>
        <w:lang w:val="de-AT"/>
      </w:rPr>
      <w:t>www.easy4me.info</w:t>
    </w:r>
    <w:r>
      <w:rPr>
        <w:rFonts w:ascii="Agency FB" w:hAnsi="Agency FB"/>
        <w:lang w:val="de-AT"/>
      </w:rPr>
      <w:tab/>
    </w:r>
    <w:r>
      <w:rPr>
        <w:rStyle w:val="Seitenzahl"/>
      </w:rPr>
      <w:fldChar w:fldCharType="begin"/>
    </w:r>
    <w:r>
      <w:rPr>
        <w:rStyle w:val="Seitenzahl"/>
      </w:rPr>
      <w:instrText xml:space="preserve"> PAGE </w:instrText>
    </w:r>
    <w:r>
      <w:rPr>
        <w:rStyle w:val="Seitenzahl"/>
      </w:rPr>
      <w:fldChar w:fldCharType="separate"/>
    </w:r>
    <w:r>
      <w:rPr>
        <w:rStyle w:val="Seitenzahl"/>
      </w:rPr>
      <w:t>9</w:t>
    </w:r>
    <w:r>
      <w:rPr>
        <w:rStyle w:val="Seitenzahl"/>
      </w:rPr>
      <w:fldChar w:fldCharType="end"/>
    </w:r>
    <w:r>
      <w:rPr>
        <w:rFonts w:ascii="Agency FB" w:hAnsi="Agency FB"/>
        <w:lang w:val="de-AT"/>
      </w:rPr>
      <w:tab/>
    </w:r>
    <w:r>
      <w:rPr>
        <w:lang w:val="de-AT"/>
      </w:rPr>
      <w:t>IT-Security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11D6C" w14:textId="77777777" w:rsidR="001F50D5" w:rsidRDefault="001F50D5">
      <w:pPr>
        <w:spacing w:after="0" w:line="240" w:lineRule="auto"/>
      </w:pPr>
      <w:r>
        <w:rPr>
          <w:color w:val="000000"/>
        </w:rPr>
        <w:ptab w:relativeTo="margin" w:alignment="center" w:leader="none"/>
      </w:r>
    </w:p>
  </w:footnote>
  <w:footnote w:type="continuationSeparator" w:id="0">
    <w:p w14:paraId="6725ED97" w14:textId="77777777" w:rsidR="001F50D5" w:rsidRDefault="001F5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A0226" w14:textId="77777777" w:rsidR="009A1DFD" w:rsidRDefault="005E4C2C" w:rsidP="00050624">
    <w:pPr>
      <w:pStyle w:val="Kopfzeile"/>
      <w:pBdr>
        <w:bottom w:val="single" w:sz="4" w:space="1" w:color="auto"/>
      </w:pBdr>
      <w:tabs>
        <w:tab w:val="clear" w:pos="4536"/>
        <w:tab w:val="clear" w:pos="9072"/>
        <w:tab w:val="center" w:pos="5038"/>
        <w:tab w:val="right" w:pos="9040"/>
      </w:tabs>
      <w:ind w:left="25" w:right="1680"/>
    </w:pPr>
    <w:bookmarkStart w:id="1" w:name="_Hlk54786009"/>
    <w:bookmarkStart w:id="2" w:name="_Hlk54786010"/>
    <w:r>
      <w:rPr>
        <w:noProof/>
      </w:rPr>
      <w:drawing>
        <wp:anchor distT="0" distB="0" distL="114300" distR="114300" simplePos="0" relativeHeight="251659264" behindDoc="0" locked="0" layoutInCell="1" allowOverlap="1" wp14:anchorId="63D668AB" wp14:editId="337A5E82">
          <wp:simplePos x="0" y="0"/>
          <wp:positionH relativeFrom="column">
            <wp:posOffset>5447159</wp:posOffset>
          </wp:positionH>
          <wp:positionV relativeFrom="paragraph">
            <wp:posOffset>-242640</wp:posOffset>
          </wp:positionV>
          <wp:extent cx="621720" cy="570960"/>
          <wp:effectExtent l="0" t="0" r="6930" b="540"/>
          <wp:wrapSquare wrapText="bothSides"/>
          <wp:docPr id="1" name="Bild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21720" cy="570960"/>
                  </a:xfrm>
                  <a:prstGeom prst="rect">
                    <a:avLst/>
                  </a:prstGeom>
                  <a:ln>
                    <a:noFill/>
                    <a:prstDash/>
                  </a:ln>
                </pic:spPr>
              </pic:pic>
            </a:graphicData>
          </a:graphic>
        </wp:anchor>
      </w:drawing>
    </w:r>
    <w:r>
      <w:t>Begriff</w:t>
    </w:r>
    <w:r w:rsidR="00EC1269">
      <w:t>e - 5</w:t>
    </w:r>
    <w:r>
      <w:tab/>
      <w:t>IT-Security</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E6E1F"/>
    <w:multiLevelType w:val="multilevel"/>
    <w:tmpl w:val="B7AE383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03C4C1C"/>
    <w:multiLevelType w:val="multilevel"/>
    <w:tmpl w:val="22FA4D5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2CBA0B72"/>
    <w:multiLevelType w:val="multilevel"/>
    <w:tmpl w:val="808CE6B2"/>
    <w:styleLink w:val="WW8Num3"/>
    <w:lvl w:ilvl="0">
      <w:start w:val="1"/>
      <w:numFmt w:val="decimal"/>
      <w:lvlText w:val="%1."/>
      <w:lvlJc w:val="left"/>
      <w:pPr>
        <w:ind w:left="360" w:hanging="360"/>
      </w:pPr>
    </w:lvl>
    <w:lvl w:ilvl="1">
      <w:numFmt w:val="bullet"/>
      <w:lvlText w:val=""/>
      <w:lvlJc w:val="left"/>
      <w:pPr>
        <w:ind w:left="1080" w:hanging="360"/>
      </w:pPr>
    </w:lvl>
    <w:lvl w:ilvl="2">
      <w:start w:val="1"/>
      <w:numFmt w:val="lowerRoman"/>
      <w:lvlText w:val="%3."/>
      <w:lvlJc w:val="right"/>
      <w:pPr>
        <w:ind w:left="1800" w:hanging="180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39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6120"/>
      </w:pPr>
    </w:lvl>
  </w:abstractNum>
  <w:abstractNum w:abstractNumId="3" w15:restartNumberingAfterBreak="0">
    <w:nsid w:val="3E630AB3"/>
    <w:multiLevelType w:val="multilevel"/>
    <w:tmpl w:val="6096F9E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521835B4"/>
    <w:multiLevelType w:val="multilevel"/>
    <w:tmpl w:val="ED6AACB6"/>
    <w:styleLink w:val="WW8Num7"/>
    <w:lvl w:ilvl="0">
      <w:start w:val="1"/>
      <w:numFmt w:val="decimal"/>
      <w:lvlText w:val="%1."/>
      <w:lvlJc w:val="left"/>
      <w:pPr>
        <w:ind w:left="283" w:hanging="282"/>
      </w:pPr>
    </w:lvl>
    <w:lvl w:ilvl="1">
      <w:start w:val="1"/>
      <w:numFmt w:val="lowerLetter"/>
      <w:lvlText w:val="%2."/>
      <w:lvlJc w:val="left"/>
      <w:pPr>
        <w:ind w:left="1080" w:hanging="360"/>
      </w:pPr>
    </w:lvl>
    <w:lvl w:ilvl="2">
      <w:start w:val="1"/>
      <w:numFmt w:val="lowerRoman"/>
      <w:lvlText w:val="%3."/>
      <w:lvlJc w:val="right"/>
      <w:pPr>
        <w:ind w:left="1800" w:hanging="180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39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6120"/>
      </w:pPr>
    </w:lvl>
  </w:abstractNum>
  <w:abstractNum w:abstractNumId="5" w15:restartNumberingAfterBreak="0">
    <w:nsid w:val="57226CDA"/>
    <w:multiLevelType w:val="multilevel"/>
    <w:tmpl w:val="4EC08FE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709"/>
    <w:rsid w:val="00006B3C"/>
    <w:rsid w:val="00050624"/>
    <w:rsid w:val="00106EBA"/>
    <w:rsid w:val="00117413"/>
    <w:rsid w:val="001F50D5"/>
    <w:rsid w:val="00240C0D"/>
    <w:rsid w:val="002D50D8"/>
    <w:rsid w:val="002D5822"/>
    <w:rsid w:val="002F06D4"/>
    <w:rsid w:val="00316287"/>
    <w:rsid w:val="003964AA"/>
    <w:rsid w:val="00407FE2"/>
    <w:rsid w:val="004764BC"/>
    <w:rsid w:val="005E4C2C"/>
    <w:rsid w:val="00653760"/>
    <w:rsid w:val="006D7ED3"/>
    <w:rsid w:val="007D77B3"/>
    <w:rsid w:val="009109E9"/>
    <w:rsid w:val="00975EA8"/>
    <w:rsid w:val="009D6BF9"/>
    <w:rsid w:val="009E0A44"/>
    <w:rsid w:val="00A15FA1"/>
    <w:rsid w:val="00A2558E"/>
    <w:rsid w:val="00A80C99"/>
    <w:rsid w:val="00B14FC7"/>
    <w:rsid w:val="00B53709"/>
    <w:rsid w:val="00B62D63"/>
    <w:rsid w:val="00B84633"/>
    <w:rsid w:val="00BD09C7"/>
    <w:rsid w:val="00CA13F2"/>
    <w:rsid w:val="00CF7BB2"/>
    <w:rsid w:val="00D575E8"/>
    <w:rsid w:val="00E95C09"/>
    <w:rsid w:val="00EC1269"/>
    <w:rsid w:val="00F23F0B"/>
    <w:rsid w:val="00F80EB3"/>
    <w:rsid w:val="00FE620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A8D5E"/>
  <w15:docId w15:val="{38F24C7C-5A31-493F-AD41-15286E00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Lucida Sans Unicode" w:hAnsi="Times New Roman" w:cs="Tahoma"/>
        <w:kern w:val="3"/>
        <w:sz w:val="24"/>
        <w:szCs w:val="24"/>
        <w:lang w:val="de-DE" w:eastAsia="de-DE" w:bidi="de-DE"/>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spacing w:after="113" w:line="283" w:lineRule="atLeast"/>
    </w:pPr>
    <w:rPr>
      <w:rFonts w:ascii="Carlito" w:eastAsia="Carlito" w:hAnsi="Carlito" w:cs="Carlito"/>
      <w:sz w:val="22"/>
    </w:rPr>
  </w:style>
  <w:style w:type="paragraph" w:styleId="berschrift1">
    <w:name w:val="heading 1"/>
    <w:basedOn w:val="Standard"/>
    <w:next w:val="Standard"/>
    <w:link w:val="berschrift1Zchn"/>
    <w:uiPriority w:val="9"/>
    <w:qFormat/>
    <w:rsid w:val="00EC12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styleId="Liste">
    <w:name w:val="List"/>
    <w:basedOn w:val="Textbody"/>
    <w:rPr>
      <w:rFonts w:cs="Tahoma"/>
    </w:rPr>
  </w:style>
  <w:style w:type="paragraph" w:customStyle="1" w:styleId="HeaderandFooter">
    <w:name w:val="Header and Footer"/>
    <w:basedOn w:val="Standard"/>
    <w:pPr>
      <w:suppressLineNumbers/>
      <w:tabs>
        <w:tab w:val="center" w:pos="4819"/>
        <w:tab w:val="right" w:pos="9638"/>
      </w:tabs>
    </w:pPr>
  </w:style>
  <w:style w:type="paragraph" w:styleId="Kopfzeile">
    <w:name w:val="header"/>
    <w:basedOn w:val="Standard"/>
    <w:pPr>
      <w:tabs>
        <w:tab w:val="center" w:pos="4536"/>
        <w:tab w:val="right" w:pos="9072"/>
      </w:tabs>
    </w:pPr>
    <w:rPr>
      <w:color w:val="003F7F"/>
      <w:sz w:val="28"/>
    </w:rPr>
  </w:style>
  <w:style w:type="paragraph" w:styleId="Fuzeile">
    <w:name w:val="footer"/>
    <w:basedOn w:val="Standard"/>
    <w:pPr>
      <w:suppressLineNumbers/>
      <w:tabs>
        <w:tab w:val="center" w:pos="4818"/>
        <w:tab w:val="right" w:pos="9637"/>
      </w:tabs>
      <w:spacing w:after="0" w:line="240" w:lineRule="auto"/>
    </w:pPr>
    <w:rPr>
      <w:sz w:val="16"/>
    </w:rPr>
  </w:style>
  <w:style w:type="paragraph" w:customStyle="1" w:styleId="TableContents">
    <w:name w:val="Table Contents"/>
    <w:basedOn w:val="Standard"/>
    <w:pPr>
      <w:suppressLineNumbers/>
      <w:suppressAutoHyphens w:val="0"/>
      <w:spacing w:after="85"/>
    </w:pPr>
  </w:style>
  <w:style w:type="paragraph" w:styleId="Beschriftung">
    <w:name w:val="caption"/>
    <w:basedOn w:val="Standard"/>
    <w:pPr>
      <w:suppressLineNumbers/>
      <w:spacing w:before="120" w:after="120"/>
      <w:ind w:left="227"/>
    </w:pPr>
    <w:rPr>
      <w:rFonts w:ascii="Liberation Serif" w:eastAsia="Liberation Serif" w:hAnsi="Liberation Serif" w:cs="Tahoma"/>
      <w:i/>
      <w:iCs/>
      <w:sz w:val="24"/>
    </w:rPr>
  </w:style>
  <w:style w:type="paragraph" w:customStyle="1" w:styleId="Index">
    <w:name w:val="Index"/>
    <w:basedOn w:val="Standard"/>
    <w:pPr>
      <w:suppressLineNumbers/>
    </w:pPr>
    <w:rPr>
      <w:rFonts w:cs="Tahoma"/>
    </w:rPr>
  </w:style>
  <w:style w:type="paragraph" w:customStyle="1" w:styleId="Aufgabe">
    <w:name w:val="Aufgabe"/>
    <w:basedOn w:val="Standard"/>
    <w:pPr>
      <w:spacing w:before="113" w:after="57"/>
    </w:pPr>
  </w:style>
  <w:style w:type="paragraph" w:customStyle="1" w:styleId="Aufgabe2">
    <w:name w:val="Aufgabe2"/>
    <w:basedOn w:val="Aufgabe"/>
    <w:pPr>
      <w:spacing w:before="0"/>
    </w:pPr>
  </w:style>
  <w:style w:type="paragraph" w:customStyle="1" w:styleId="Framecontents">
    <w:name w:val="Frame contents"/>
    <w:basedOn w:val="Standard"/>
  </w:style>
  <w:style w:type="paragraph" w:customStyle="1" w:styleId="TableHeading">
    <w:name w:val="Table Heading"/>
    <w:basedOn w:val="TableContents"/>
    <w:pPr>
      <w:jc w:val="center"/>
    </w:pPr>
    <w:rPr>
      <w:b/>
      <w:bCs/>
    </w:rPr>
  </w:style>
  <w:style w:type="paragraph" w:customStyle="1" w:styleId="Begriff">
    <w:name w:val="Begriff"/>
    <w:basedOn w:val="TableContents"/>
    <w:pPr>
      <w:spacing w:after="0"/>
      <w:ind w:left="113"/>
    </w:pPr>
    <w:rPr>
      <w:color w:val="003F7F"/>
      <w:sz w:val="24"/>
    </w:rPr>
  </w:style>
  <w:style w:type="paragraph" w:customStyle="1" w:styleId="LibOTextkrper">
    <w:name w:val="LibOTextkörper"/>
    <w:basedOn w:val="Standard"/>
    <w:pPr>
      <w:suppressAutoHyphens w:val="0"/>
      <w:spacing w:before="57" w:after="57"/>
    </w:pPr>
  </w:style>
  <w:style w:type="character" w:styleId="Seitenzahl">
    <w:name w:val="page number"/>
    <w:basedOn w:val="Absatz-Standardschriftart"/>
  </w:style>
  <w:style w:type="character" w:customStyle="1" w:styleId="NumberingSymbols">
    <w:name w:val="Numbering Symbols"/>
    <w:rPr>
      <w:sz w:val="22"/>
      <w:szCs w:val="22"/>
    </w:rPr>
  </w:style>
  <w:style w:type="character" w:customStyle="1" w:styleId="Internetlink">
    <w:name w:val="Internet link"/>
    <w:basedOn w:val="Absatz-Standardschriftart"/>
    <w:rPr>
      <w:color w:val="0000FF"/>
      <w:u w:val="single"/>
    </w:rPr>
  </w:style>
  <w:style w:type="character" w:customStyle="1" w:styleId="fettkursiv">
    <w:name w:val="fett_kursiv"/>
    <w:rPr>
      <w:rFonts w:ascii="Carlito" w:eastAsia="Carlito" w:hAnsi="Carlito" w:cs="Carlito"/>
      <w:b/>
      <w:bCs/>
      <w:i/>
      <w:iCs/>
      <w:sz w:val="22"/>
    </w:rPr>
  </w:style>
  <w:style w:type="character" w:customStyle="1" w:styleId="Anleitung">
    <w:name w:val="Anleitung"/>
    <w:rPr>
      <w:rFonts w:ascii="Liberation Serif" w:eastAsia="Liberation Serif" w:hAnsi="Liberation Serif" w:cs="Liberation Serif"/>
      <w:i/>
      <w:iCs/>
      <w:color w:val="00376F"/>
      <w:sz w:val="22"/>
    </w:rPr>
  </w:style>
  <w:style w:type="character" w:customStyle="1" w:styleId="Anleitungfett">
    <w:name w:val="Anleitung_fett"/>
    <w:basedOn w:val="Anleitung"/>
    <w:rPr>
      <w:rFonts w:ascii="Liberation Serif" w:eastAsia="Liberation Serif" w:hAnsi="Liberation Serif" w:cs="Liberation Serif"/>
      <w:b/>
      <w:bCs/>
      <w:i/>
      <w:iCs/>
      <w:color w:val="00376F"/>
      <w:sz w:val="22"/>
    </w:rPr>
  </w:style>
  <w:style w:type="character" w:customStyle="1" w:styleId="Aufgabefett">
    <w:name w:val="Aufgabe_fett"/>
    <w:rPr>
      <w:rFonts w:ascii="Liberation Sans" w:eastAsia="Liberation Sans" w:hAnsi="Liberation Sans" w:cs="Liberation Sans"/>
      <w:b/>
      <w:bCs/>
      <w:sz w:val="22"/>
    </w:rPr>
  </w:style>
  <w:style w:type="character" w:customStyle="1" w:styleId="BulletSymbols">
    <w:name w:val="Bullet Symbols"/>
    <w:rPr>
      <w:rFonts w:ascii="OpenSymbol" w:eastAsia="OpenSymbol" w:hAnsi="OpenSymbol" w:cs="OpenSymbol"/>
    </w:rPr>
  </w:style>
  <w:style w:type="character" w:customStyle="1" w:styleId="Zeichenformat">
    <w:name w:val="Zeichenformat"/>
  </w:style>
  <w:style w:type="character" w:styleId="Hervorhebung">
    <w:name w:val="Emphasis"/>
    <w:rPr>
      <w:i/>
      <w:iCs/>
    </w:rPr>
  </w:style>
  <w:style w:type="character" w:customStyle="1" w:styleId="StrongEmphasis">
    <w:name w:val="Strong Emphasis"/>
    <w:rPr>
      <w:b/>
      <w:bCs/>
    </w:rPr>
  </w:style>
  <w:style w:type="numbering" w:customStyle="1" w:styleId="WW8Num7">
    <w:name w:val="WW8Num7"/>
    <w:basedOn w:val="KeineListe"/>
    <w:pPr>
      <w:numPr>
        <w:numId w:val="1"/>
      </w:numPr>
    </w:pPr>
  </w:style>
  <w:style w:type="numbering" w:customStyle="1" w:styleId="WW8Num3">
    <w:name w:val="WW8Num3"/>
    <w:basedOn w:val="KeineListe"/>
    <w:pPr>
      <w:numPr>
        <w:numId w:val="2"/>
      </w:numPr>
    </w:pPr>
  </w:style>
  <w:style w:type="character" w:customStyle="1" w:styleId="berschrift1Zchn">
    <w:name w:val="Überschrift 1 Zchn"/>
    <w:basedOn w:val="Absatz-Standardschriftart"/>
    <w:link w:val="berschrift1"/>
    <w:uiPriority w:val="9"/>
    <w:rsid w:val="00EC1269"/>
    <w:rPr>
      <w:rFonts w:asciiTheme="majorHAnsi" w:eastAsiaTheme="majorEastAsia" w:hAnsiTheme="majorHAnsi" w:cstheme="majorBidi"/>
      <w:color w:val="2F5496" w:themeColor="accent1" w:themeShade="BF"/>
      <w:sz w:val="32"/>
      <w:szCs w:val="32"/>
    </w:rPr>
  </w:style>
  <w:style w:type="character" w:customStyle="1" w:styleId="highlight">
    <w:name w:val="highlight"/>
    <w:basedOn w:val="Absatz-Standardschriftart"/>
    <w:rsid w:val="002F0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8DA949D244DDC4D8927FC2E7EFC5E85" ma:contentTypeVersion="14" ma:contentTypeDescription="Ein neues Dokument erstellen." ma:contentTypeScope="" ma:versionID="8e3e143c3245ab8381ea45e05aa0c39e">
  <xsd:schema xmlns:xsd="http://www.w3.org/2001/XMLSchema" xmlns:xs="http://www.w3.org/2001/XMLSchema" xmlns:p="http://schemas.microsoft.com/office/2006/metadata/properties" xmlns:ns3="90dcfa79-2d89-47ef-bc80-866a5b3e3183" xmlns:ns4="8baa7261-70d0-45ca-b925-0e0e2c0f4054" targetNamespace="http://schemas.microsoft.com/office/2006/metadata/properties" ma:root="true" ma:fieldsID="3979642bbeb03c472205213f8a11e0f5" ns3:_="" ns4:_="">
    <xsd:import namespace="90dcfa79-2d89-47ef-bc80-866a5b3e3183"/>
    <xsd:import namespace="8baa7261-70d0-45ca-b925-0e0e2c0f40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cfa79-2d89-47ef-bc80-866a5b3e3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aa7261-70d0-45ca-b925-0e0e2c0f4054"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SharingHintHash" ma:index="2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5917B7-479A-4BB5-AD17-3840160F7C99}">
  <ds:schemaRefs>
    <ds:schemaRef ds:uri="http://schemas.microsoft.com/sharepoint/v3/contenttype/forms"/>
  </ds:schemaRefs>
</ds:datastoreItem>
</file>

<file path=customXml/itemProps2.xml><?xml version="1.0" encoding="utf-8"?>
<ds:datastoreItem xmlns:ds="http://schemas.openxmlformats.org/officeDocument/2006/customXml" ds:itemID="{C9D8E8F8-1028-4012-A3FC-F9BA4EF14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cfa79-2d89-47ef-bc80-866a5b3e3183"/>
    <ds:schemaRef ds:uri="8baa7261-70d0-45ca-b925-0e0e2c0f4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CCA92A-BF0A-4F99-BB19-B2AF4148E7D3}">
  <ds:schemaRefs>
    <ds:schemaRef ds:uri="http://www.w3.org/XML/1998/namespace"/>
    <ds:schemaRef ds:uri="http://purl.org/dc/elements/1.1/"/>
    <ds:schemaRef ds:uri="http://purl.org/dc/dcmitype/"/>
    <ds:schemaRef ds:uri="http://schemas.microsoft.com/office/2006/documentManagement/types"/>
    <ds:schemaRef ds:uri="http://purl.org/dc/terms/"/>
    <ds:schemaRef ds:uri="http://schemas.microsoft.com/office/2006/metadata/properties"/>
    <ds:schemaRef ds:uri="8baa7261-70d0-45ca-b925-0e0e2c0f4054"/>
    <ds:schemaRef ds:uri="http://schemas.microsoft.com/office/infopath/2007/PartnerControls"/>
    <ds:schemaRef ds:uri="http://schemas.openxmlformats.org/package/2006/metadata/core-properties"/>
    <ds:schemaRef ds:uri="90dcfa79-2d89-47ef-bc80-866a5b3e318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3682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Easy4Me</dc:creator>
  <cp:lastModifiedBy>Easy4me</cp:lastModifiedBy>
  <cp:revision>7</cp:revision>
  <cp:lastPrinted>2020-11-26T09:41:00Z</cp:lastPrinted>
  <dcterms:created xsi:type="dcterms:W3CDTF">2022-11-09T22:56:00Z</dcterms:created>
  <dcterms:modified xsi:type="dcterms:W3CDTF">2022-12-26T19:05:00Z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ContentTypeId">
    <vt:lpwstr>0x01010068DA949D244DDC4D8927FC2E7EFC5E85</vt:lpwstr>
  </property>
</Properties>
</file>